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20228F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E4662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OBRAS PUBLICAS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8A35B2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E4662A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E4662A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E4662A" w:rsidP="0034303B">
            <w:pPr>
              <w:tabs>
                <w:tab w:val="left" w:pos="8505"/>
              </w:tabs>
              <w:jc w:val="center"/>
            </w:pPr>
            <w:r>
              <w:t>4</w:t>
            </w:r>
            <w:r w:rsidR="0034303B">
              <w:t>5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20228F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2A1E01" w:rsidP="001719EA">
            <w:pPr>
              <w:pStyle w:val="Sinespaciado"/>
              <w:jc w:val="center"/>
            </w:pPr>
            <w:r>
              <w:t>MA. DEL CARMEN BRAVO ARIAS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2A1E01" w:rsidP="001719EA">
            <w:pPr>
              <w:pStyle w:val="Sinespaciado"/>
              <w:jc w:val="both"/>
            </w:pPr>
            <w:r>
              <w:t>MARCOS MERCED CERVANTES AVIÑA</w:t>
            </w:r>
            <w:r w:rsidR="006162B0">
              <w:t xml:space="preserve">                 </w:t>
            </w:r>
            <w:r>
              <w:t xml:space="preserve">                                HUGO FLORES LOPEZ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1719EA"/>
    <w:rsid w:val="0020228F"/>
    <w:rsid w:val="00294078"/>
    <w:rsid w:val="002A1E01"/>
    <w:rsid w:val="0034303B"/>
    <w:rsid w:val="0042115E"/>
    <w:rsid w:val="005446CA"/>
    <w:rsid w:val="006162B0"/>
    <w:rsid w:val="00694C7D"/>
    <w:rsid w:val="006D3358"/>
    <w:rsid w:val="007B47C6"/>
    <w:rsid w:val="008A35B2"/>
    <w:rsid w:val="00A12FBC"/>
    <w:rsid w:val="00C60701"/>
    <w:rsid w:val="00CD793F"/>
    <w:rsid w:val="00DE4B09"/>
    <w:rsid w:val="00E4662A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8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8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12</cp:revision>
  <cp:lastPrinted>2019-07-05T15:15:00Z</cp:lastPrinted>
  <dcterms:created xsi:type="dcterms:W3CDTF">2019-07-04T15:57:00Z</dcterms:created>
  <dcterms:modified xsi:type="dcterms:W3CDTF">2019-07-09T15:49:00Z</dcterms:modified>
</cp:coreProperties>
</file>