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C45981A" w:rsidR="004272E1" w:rsidRDefault="007E7E83" w:rsidP="00F95B18">
      <w:pPr>
        <w:jc w:val="right"/>
      </w:pPr>
      <w:r>
        <w:t>MYT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01A38772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7E7E83">
        <w:rPr>
          <w:b/>
          <w:sz w:val="24"/>
          <w:szCs w:val="24"/>
        </w:rPr>
        <w:t>MOVILIDAD Y TRANSPORTE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A2257EB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7E7E83">
        <w:rPr>
          <w:b/>
          <w:sz w:val="24"/>
          <w:szCs w:val="24"/>
        </w:rPr>
        <w:t xml:space="preserve"> CARLOS JOSE ROCHA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2011A51D" w:rsidR="00907145" w:rsidRDefault="007E7E83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MOVILIDAD Y TRANSPORTE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13D2E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104</cp:revision>
  <cp:lastPrinted>2025-04-24T18:09:00Z</cp:lastPrinted>
  <dcterms:created xsi:type="dcterms:W3CDTF">2020-04-10T22:31:00Z</dcterms:created>
  <dcterms:modified xsi:type="dcterms:W3CDTF">2025-04-24T18:09:00Z</dcterms:modified>
</cp:coreProperties>
</file>